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F3F14" w14:textId="0C30C5B3" w:rsidR="00B61CD0" w:rsidRDefault="003C1713" w:rsidP="003C1713">
      <w:pPr>
        <w:jc w:val="center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noProof/>
          <w:lang w:eastAsia="es-ES_tradnl"/>
        </w:rPr>
        <w:drawing>
          <wp:inline distT="0" distB="0" distL="0" distR="0" wp14:anchorId="05437E3A" wp14:editId="154BFC8E">
            <wp:extent cx="3888391" cy="1037786"/>
            <wp:effectExtent l="0" t="0" r="0" b="3810"/>
            <wp:docPr id="1" name="Imagen 1" descr="../../../Volumes/JUANITA%202TB/JUANITA%202TB/FONOTECA%20PROGRAMAS/PRODUCCION%20EXTERNA/REMPA/ADMINISTRACION/00%20LOGOS%20REMPA%20-Render/Horizontal/JPG/IMAGOTIPO%20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Volumes/JUANITA%202TB/JUANITA%202TB/FONOTECA%20PROGRAMAS/PRODUCCION%20EXTERNA/REMPA/ADMINISTRACION/00%20LOGOS%20REMPA%20-Render/Horizontal/JPG/IMAGOTIPO%20-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049" cy="107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48724" w14:textId="77777777" w:rsidR="003C1713" w:rsidRDefault="003C1713" w:rsidP="00B61CD0">
      <w:pPr>
        <w:jc w:val="right"/>
        <w:rPr>
          <w:rFonts w:asciiTheme="minorHAnsi" w:eastAsia="Times New Roman" w:hAnsiTheme="minorHAnsi" w:cs="Times New Roman"/>
        </w:rPr>
      </w:pPr>
    </w:p>
    <w:p w14:paraId="421A2CF2" w14:textId="5761225B" w:rsidR="006C3697" w:rsidRPr="00B61CD0" w:rsidRDefault="00C937E0" w:rsidP="00B61CD0">
      <w:pPr>
        <w:jc w:val="right"/>
        <w:rPr>
          <w:rFonts w:asciiTheme="minorHAnsi" w:eastAsia="Times New Roman" w:hAnsiTheme="minorHAnsi" w:cs="Times New Roman"/>
        </w:rPr>
      </w:pPr>
      <w:r w:rsidRPr="00B61CD0">
        <w:rPr>
          <w:rFonts w:asciiTheme="minorHAnsi" w:eastAsia="Times New Roman" w:hAnsiTheme="minorHAnsi" w:cs="Times New Roman"/>
        </w:rPr>
        <w:t xml:space="preserve">Ciudad de México, a </w:t>
      </w:r>
      <w:r w:rsidR="00AC4312" w:rsidRPr="00B61CD0">
        <w:rPr>
          <w:rFonts w:asciiTheme="minorHAnsi" w:eastAsia="Times New Roman" w:hAnsiTheme="minorHAnsi" w:cs="Times New Roman"/>
        </w:rPr>
        <w:t>20</w:t>
      </w:r>
      <w:r w:rsidRPr="00B61CD0">
        <w:rPr>
          <w:rFonts w:asciiTheme="minorHAnsi" w:eastAsia="Times New Roman" w:hAnsiTheme="minorHAnsi" w:cs="Times New Roman"/>
        </w:rPr>
        <w:t xml:space="preserve"> de marzo de 202</w:t>
      </w:r>
      <w:r w:rsidR="00AC4312" w:rsidRPr="00B61CD0">
        <w:rPr>
          <w:rFonts w:asciiTheme="minorHAnsi" w:eastAsia="Times New Roman" w:hAnsiTheme="minorHAnsi" w:cs="Times New Roman"/>
        </w:rPr>
        <w:t>3</w:t>
      </w:r>
      <w:r w:rsidR="003C1713">
        <w:rPr>
          <w:rFonts w:asciiTheme="minorHAnsi" w:eastAsia="Times New Roman" w:hAnsiTheme="minorHAnsi" w:cs="Times New Roman"/>
        </w:rPr>
        <w:t>.</w:t>
      </w:r>
    </w:p>
    <w:p w14:paraId="1AEB4C70" w14:textId="77777777" w:rsidR="00C937E0" w:rsidRPr="00B61CD0" w:rsidRDefault="00C937E0" w:rsidP="00B61CD0">
      <w:pPr>
        <w:jc w:val="both"/>
        <w:rPr>
          <w:rFonts w:asciiTheme="minorHAnsi" w:eastAsia="Times New Roman" w:hAnsiTheme="minorHAnsi" w:cs="Times New Roman"/>
        </w:rPr>
      </w:pPr>
    </w:p>
    <w:p w14:paraId="624E1D77" w14:textId="446FD254" w:rsidR="00C937E0" w:rsidRPr="00B61CD0" w:rsidRDefault="00C937E0" w:rsidP="00B61CD0">
      <w:pPr>
        <w:jc w:val="both"/>
        <w:rPr>
          <w:rFonts w:asciiTheme="minorHAnsi" w:eastAsia="Times New Roman" w:hAnsiTheme="minorHAnsi" w:cs="Times New Roman"/>
        </w:rPr>
      </w:pPr>
      <w:r w:rsidRPr="00B61CD0">
        <w:rPr>
          <w:rFonts w:asciiTheme="minorHAnsi" w:eastAsia="Times New Roman" w:hAnsiTheme="minorHAnsi" w:cs="Times New Roman"/>
        </w:rPr>
        <w:t>A la opinión pública</w:t>
      </w:r>
      <w:r w:rsidR="003C1713">
        <w:rPr>
          <w:rFonts w:asciiTheme="minorHAnsi" w:eastAsia="Times New Roman" w:hAnsiTheme="minorHAnsi" w:cs="Times New Roman"/>
        </w:rPr>
        <w:t>:</w:t>
      </w:r>
    </w:p>
    <w:p w14:paraId="27E27259" w14:textId="77777777" w:rsidR="00C937E0" w:rsidRPr="00B61CD0" w:rsidRDefault="00C937E0" w:rsidP="00B61CD0">
      <w:pPr>
        <w:jc w:val="both"/>
        <w:rPr>
          <w:rFonts w:asciiTheme="minorHAnsi" w:eastAsia="Times New Roman" w:hAnsiTheme="minorHAnsi" w:cs="Times New Roman"/>
        </w:rPr>
      </w:pPr>
    </w:p>
    <w:p w14:paraId="638CBD14" w14:textId="354ABD46" w:rsidR="00C937E0" w:rsidRPr="00B61CD0" w:rsidRDefault="00C937E0" w:rsidP="00B61CD0">
      <w:pPr>
        <w:jc w:val="both"/>
        <w:rPr>
          <w:rFonts w:asciiTheme="minorHAnsi" w:eastAsia="Times New Roman" w:hAnsiTheme="minorHAnsi" w:cs="Times New Roman"/>
        </w:rPr>
      </w:pPr>
      <w:r w:rsidRPr="00B61CD0">
        <w:rPr>
          <w:rFonts w:asciiTheme="minorHAnsi" w:eastAsia="Times New Roman" w:hAnsiTheme="minorHAnsi" w:cs="Times New Roman"/>
        </w:rPr>
        <w:t xml:space="preserve">El Instituto Nacional de Transparencia, Acceso a la Información Pública y Protección de Datos Personales (INAI) ha sido una institución fundamental </w:t>
      </w:r>
      <w:r w:rsidR="00AC4312" w:rsidRPr="00B61CD0">
        <w:rPr>
          <w:rFonts w:asciiTheme="minorHAnsi" w:eastAsia="Times New Roman" w:hAnsiTheme="minorHAnsi" w:cs="Times New Roman"/>
        </w:rPr>
        <w:t>en</w:t>
      </w:r>
      <w:r w:rsidRPr="00B61CD0">
        <w:rPr>
          <w:rFonts w:asciiTheme="minorHAnsi" w:eastAsia="Times New Roman" w:hAnsiTheme="minorHAnsi" w:cs="Times New Roman"/>
        </w:rPr>
        <w:t xml:space="preserve"> la promoción de la transparencia</w:t>
      </w:r>
      <w:r w:rsidR="00AC4312" w:rsidRPr="00B61CD0">
        <w:rPr>
          <w:rFonts w:asciiTheme="minorHAnsi" w:eastAsia="Times New Roman" w:hAnsiTheme="minorHAnsi" w:cs="Times New Roman"/>
        </w:rPr>
        <w:t>,</w:t>
      </w:r>
      <w:r w:rsidRPr="00B61CD0">
        <w:rPr>
          <w:rFonts w:asciiTheme="minorHAnsi" w:eastAsia="Times New Roman" w:hAnsiTheme="minorHAnsi" w:cs="Times New Roman"/>
        </w:rPr>
        <w:t xml:space="preserve"> la rendición de cuentas de los organismos del Estado</w:t>
      </w:r>
      <w:r w:rsidR="00AC4312" w:rsidRPr="00B61CD0">
        <w:rPr>
          <w:rFonts w:asciiTheme="minorHAnsi" w:eastAsia="Times New Roman" w:hAnsiTheme="minorHAnsi" w:cs="Times New Roman"/>
        </w:rPr>
        <w:t xml:space="preserve"> y la protección de datos personales</w:t>
      </w:r>
      <w:r w:rsidRPr="00B61CD0">
        <w:rPr>
          <w:rFonts w:asciiTheme="minorHAnsi" w:eastAsia="Times New Roman" w:hAnsiTheme="minorHAnsi" w:cs="Times New Roman"/>
        </w:rPr>
        <w:t>. Su funcionamiento ha permitido el desarrollo de importantes investigaciones periodísticas relacionadas con corrupción y omisiones del Estado</w:t>
      </w:r>
      <w:r w:rsidR="00AC4312" w:rsidRPr="00B61CD0">
        <w:rPr>
          <w:rFonts w:asciiTheme="minorHAnsi" w:eastAsia="Times New Roman" w:hAnsiTheme="minorHAnsi" w:cs="Times New Roman"/>
        </w:rPr>
        <w:t>.</w:t>
      </w:r>
      <w:r w:rsidR="00CD1B9C" w:rsidRPr="00B61CD0">
        <w:rPr>
          <w:rFonts w:asciiTheme="minorHAnsi" w:eastAsia="Times New Roman" w:hAnsiTheme="minorHAnsi" w:cs="Times New Roman"/>
        </w:rPr>
        <w:t xml:space="preserve"> Su labor en la protección de datos personales y el derecho a la privacidad garantiza seguridad a la ciudadanía y al gremio periodístico.</w:t>
      </w:r>
    </w:p>
    <w:p w14:paraId="7B9F7B91" w14:textId="77777777" w:rsidR="00C937E0" w:rsidRPr="00B61CD0" w:rsidRDefault="00C937E0" w:rsidP="00B61CD0">
      <w:pPr>
        <w:jc w:val="both"/>
        <w:rPr>
          <w:rFonts w:asciiTheme="minorHAnsi" w:eastAsia="Times New Roman" w:hAnsiTheme="minorHAnsi" w:cs="Times New Roman"/>
        </w:rPr>
      </w:pPr>
    </w:p>
    <w:p w14:paraId="2E49D2B3" w14:textId="02D88096" w:rsidR="00C937E0" w:rsidRPr="00B61CD0" w:rsidRDefault="00C937E0" w:rsidP="00B61CD0">
      <w:pPr>
        <w:jc w:val="both"/>
        <w:rPr>
          <w:rFonts w:asciiTheme="minorHAnsi" w:eastAsia="Times New Roman" w:hAnsiTheme="minorHAnsi" w:cs="Times New Roman"/>
        </w:rPr>
      </w:pPr>
      <w:r w:rsidRPr="00B61CD0">
        <w:rPr>
          <w:rFonts w:asciiTheme="minorHAnsi" w:eastAsia="Times New Roman" w:hAnsiTheme="minorHAnsi" w:cs="Times New Roman"/>
        </w:rPr>
        <w:t xml:space="preserve">Además, el INAI juega un papel relevante en el cumplimiento del Acuerdo Regional sobre el Acceso a la Información, la Participación Pública y el Acceso a la Justicia en Asuntos Ambientales en América Latina y el Caribe, conocido como Acuerdo de Escazú, vigente desde abril de 2021 y del cual México es parte. De hecho, el INAI ha sentado jurisprudencia en </w:t>
      </w:r>
      <w:r w:rsidR="00483BCB" w:rsidRPr="00B61CD0">
        <w:rPr>
          <w:rFonts w:asciiTheme="minorHAnsi" w:eastAsia="Times New Roman" w:hAnsiTheme="minorHAnsi" w:cs="Times New Roman"/>
        </w:rPr>
        <w:t>el cumplimiento de dicho acuerdo</w:t>
      </w:r>
      <w:r w:rsidRPr="00B61CD0">
        <w:rPr>
          <w:rFonts w:asciiTheme="minorHAnsi" w:eastAsia="Times New Roman" w:hAnsiTheme="minorHAnsi" w:cs="Times New Roman"/>
        </w:rPr>
        <w:t>.</w:t>
      </w:r>
    </w:p>
    <w:p w14:paraId="4867F9B2" w14:textId="77777777" w:rsidR="006F213C" w:rsidRPr="00B61CD0" w:rsidRDefault="006F213C" w:rsidP="00B61CD0">
      <w:pPr>
        <w:jc w:val="both"/>
        <w:rPr>
          <w:rFonts w:asciiTheme="minorHAnsi" w:eastAsia="Times New Roman" w:hAnsiTheme="minorHAnsi" w:cs="Times New Roman"/>
        </w:rPr>
      </w:pPr>
    </w:p>
    <w:p w14:paraId="3ADCE9C4" w14:textId="35A26E8D" w:rsidR="006F213C" w:rsidRPr="00B61CD0" w:rsidRDefault="006F213C" w:rsidP="00B61CD0">
      <w:pPr>
        <w:jc w:val="both"/>
        <w:rPr>
          <w:rFonts w:asciiTheme="minorHAnsi" w:eastAsia="Times New Roman" w:hAnsiTheme="minorHAnsi" w:cs="Times New Roman"/>
        </w:rPr>
      </w:pPr>
      <w:r w:rsidRPr="00B61CD0">
        <w:rPr>
          <w:rFonts w:asciiTheme="minorHAnsi" w:eastAsia="Times New Roman" w:hAnsiTheme="minorHAnsi" w:cs="Times New Roman"/>
        </w:rPr>
        <w:t>Desde abril de 2022, el Instituto debió contar con su pleno completo de siete integrantes, pero el Senado de la República demoró casi un año en esos nombramientos. Y el 31 de marzo expira el periodo del comisionado Francisco Javier Acuña, por lo cual el órgano garante quedará incompleto y no podrá operar debido al pleno incompleto.</w:t>
      </w:r>
    </w:p>
    <w:p w14:paraId="0FACE0A9" w14:textId="77777777" w:rsidR="00AC4312" w:rsidRPr="00B61CD0" w:rsidRDefault="00AC4312" w:rsidP="00B61CD0">
      <w:pPr>
        <w:jc w:val="both"/>
        <w:rPr>
          <w:rFonts w:asciiTheme="minorHAnsi" w:eastAsia="Times New Roman" w:hAnsiTheme="minorHAnsi" w:cs="Times New Roman"/>
        </w:rPr>
      </w:pPr>
    </w:p>
    <w:p w14:paraId="3093416E" w14:textId="0736EE70" w:rsidR="00AC4312" w:rsidRPr="00B61CD0" w:rsidRDefault="00AC4312" w:rsidP="00B61CD0">
      <w:pPr>
        <w:jc w:val="both"/>
        <w:rPr>
          <w:rFonts w:asciiTheme="minorHAnsi" w:eastAsia="Times New Roman" w:hAnsiTheme="minorHAnsi" w:cs="Times New Roman"/>
        </w:rPr>
      </w:pPr>
      <w:r w:rsidRPr="00B61CD0">
        <w:rPr>
          <w:rFonts w:asciiTheme="minorHAnsi" w:eastAsia="Times New Roman" w:hAnsiTheme="minorHAnsi" w:cs="Times New Roman"/>
        </w:rPr>
        <w:t>Entre los objetivos de la Red Mexicana de Periodistas Ambientales figuran la promoción del libre acceso a la información ambiental, a través de la creación de espacios de difusión e intercambio de información.</w:t>
      </w:r>
    </w:p>
    <w:p w14:paraId="6714E10C" w14:textId="77777777" w:rsidR="00C937E0" w:rsidRPr="00B61CD0" w:rsidRDefault="00C937E0" w:rsidP="00B61CD0">
      <w:pPr>
        <w:jc w:val="both"/>
        <w:rPr>
          <w:rFonts w:asciiTheme="minorHAnsi" w:eastAsia="Times New Roman" w:hAnsiTheme="minorHAnsi" w:cs="Times New Roman"/>
        </w:rPr>
      </w:pPr>
    </w:p>
    <w:p w14:paraId="57B148FD" w14:textId="595B14D5" w:rsidR="00C937E0" w:rsidRPr="00B61CD0" w:rsidRDefault="00C937E0" w:rsidP="00B61CD0">
      <w:pPr>
        <w:jc w:val="both"/>
        <w:rPr>
          <w:rFonts w:asciiTheme="minorHAnsi" w:eastAsia="Times New Roman" w:hAnsiTheme="minorHAnsi" w:cs="Times New Roman"/>
        </w:rPr>
      </w:pPr>
      <w:r w:rsidRPr="00B61CD0">
        <w:rPr>
          <w:rFonts w:asciiTheme="minorHAnsi" w:eastAsia="Times New Roman" w:hAnsiTheme="minorHAnsi" w:cs="Times New Roman"/>
        </w:rPr>
        <w:t>Por ello, la Re</w:t>
      </w:r>
      <w:r w:rsidR="00AC4312" w:rsidRPr="00B61CD0">
        <w:rPr>
          <w:rFonts w:asciiTheme="minorHAnsi" w:eastAsia="Times New Roman" w:hAnsiTheme="minorHAnsi" w:cs="Times New Roman"/>
        </w:rPr>
        <w:t>d</w:t>
      </w:r>
      <w:r w:rsidRPr="00B61CD0">
        <w:rPr>
          <w:rFonts w:asciiTheme="minorHAnsi" w:eastAsia="Times New Roman" w:hAnsiTheme="minorHAnsi" w:cs="Times New Roman"/>
        </w:rPr>
        <w:t xml:space="preserve"> </w:t>
      </w:r>
      <w:r w:rsidR="006F213C" w:rsidRPr="00B61CD0">
        <w:rPr>
          <w:rFonts w:asciiTheme="minorHAnsi" w:eastAsia="Times New Roman" w:hAnsiTheme="minorHAnsi" w:cs="Times New Roman"/>
        </w:rPr>
        <w:t>manifiesta:</w:t>
      </w:r>
    </w:p>
    <w:p w14:paraId="19795ABB" w14:textId="77777777" w:rsidR="006F213C" w:rsidRPr="00B61CD0" w:rsidRDefault="006F213C" w:rsidP="00B61CD0">
      <w:pPr>
        <w:jc w:val="both"/>
        <w:rPr>
          <w:rFonts w:asciiTheme="minorHAnsi" w:eastAsia="Times New Roman" w:hAnsiTheme="minorHAnsi" w:cs="Times New Roman"/>
        </w:rPr>
      </w:pPr>
    </w:p>
    <w:p w14:paraId="382EF347" w14:textId="44CB4D62" w:rsidR="006F213C" w:rsidRPr="00B61CD0" w:rsidRDefault="006F213C" w:rsidP="00B61CD0">
      <w:pPr>
        <w:pStyle w:val="Prrafodelista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61CD0">
        <w:rPr>
          <w:rFonts w:asciiTheme="minorHAnsi" w:eastAsia="Times New Roman" w:hAnsiTheme="minorHAnsi" w:cs="Times New Roman"/>
        </w:rPr>
        <w:t>Su condena al veto presidencial a los dos nombramientos votados por el Senado de la República.</w:t>
      </w:r>
    </w:p>
    <w:p w14:paraId="1823C3C7" w14:textId="731C1D89" w:rsidR="006F213C" w:rsidRPr="00B61CD0" w:rsidRDefault="006F213C" w:rsidP="00B61CD0">
      <w:pPr>
        <w:pStyle w:val="Prrafodelista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61CD0">
        <w:rPr>
          <w:rFonts w:asciiTheme="minorHAnsi" w:eastAsia="Times New Roman" w:hAnsiTheme="minorHAnsi" w:cs="Times New Roman"/>
        </w:rPr>
        <w:t>Su llamado al Senado de la República para nombrar de urgencia a los dos comisionados restantes y permitir así que el INAI funcione.</w:t>
      </w:r>
    </w:p>
    <w:p w14:paraId="55388256" w14:textId="77777777" w:rsidR="00AC4312" w:rsidRPr="00B61CD0" w:rsidRDefault="00AC4312" w:rsidP="00B61CD0">
      <w:pPr>
        <w:pStyle w:val="Prrafodelista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61CD0">
        <w:rPr>
          <w:rFonts w:asciiTheme="minorHAnsi" w:eastAsia="Times New Roman" w:hAnsiTheme="minorHAnsi" w:cs="Times New Roman"/>
        </w:rPr>
        <w:t>Su invitación a asociaciones de periodistas, academia, organizaciones no gubernamentales y otros sectores de la sociedad mexicana a la defensa de la transparencia, la rendición de cuenta y el acceso a la información pública, en tanto que constituyen ejes centrales de la vida democrática.</w:t>
      </w:r>
    </w:p>
    <w:p w14:paraId="75787BD0" w14:textId="199CDFD7" w:rsidR="00E20804" w:rsidRPr="00B61CD0" w:rsidRDefault="00E20804" w:rsidP="00B61CD0">
      <w:pPr>
        <w:pStyle w:val="Prrafodelista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61CD0">
        <w:rPr>
          <w:rFonts w:asciiTheme="minorHAnsi" w:eastAsia="Times New Roman" w:hAnsiTheme="minorHAnsi" w:cs="Times New Roman"/>
        </w:rPr>
        <w:t>Su llamado al cumplimiento de la Constitución y los acuerdos internacionales firmados por México en materia de acceso a la información pública y protección de datos personales.</w:t>
      </w:r>
    </w:p>
    <w:p w14:paraId="32371CA0" w14:textId="42D28BCC" w:rsidR="006F213C" w:rsidRPr="00A24A85" w:rsidRDefault="00AC4312" w:rsidP="00A24A85">
      <w:pPr>
        <w:pStyle w:val="Prrafodelista"/>
        <w:numPr>
          <w:ilvl w:val="0"/>
          <w:numId w:val="1"/>
        </w:numPr>
        <w:jc w:val="both"/>
        <w:rPr>
          <w:rFonts w:asciiTheme="minorHAnsi" w:eastAsia="Times New Roman" w:hAnsiTheme="minorHAnsi" w:cs="Times New Roman"/>
        </w:rPr>
      </w:pPr>
      <w:r w:rsidRPr="00B61CD0">
        <w:rPr>
          <w:rFonts w:asciiTheme="minorHAnsi" w:eastAsia="Times New Roman" w:hAnsiTheme="minorHAnsi" w:cs="Times New Roman"/>
        </w:rPr>
        <w:t>Su preocupación por el increment</w:t>
      </w:r>
      <w:r w:rsidR="00E20804" w:rsidRPr="00B61CD0">
        <w:rPr>
          <w:rFonts w:asciiTheme="minorHAnsi" w:eastAsia="Times New Roman" w:hAnsiTheme="minorHAnsi" w:cs="Times New Roman"/>
        </w:rPr>
        <w:t>o</w:t>
      </w:r>
      <w:r w:rsidRPr="00B61CD0">
        <w:rPr>
          <w:rFonts w:asciiTheme="minorHAnsi" w:eastAsia="Times New Roman" w:hAnsiTheme="minorHAnsi" w:cs="Times New Roman"/>
        </w:rPr>
        <w:t xml:space="preserve"> de la opacidad y el uso recurrente del argumento de la “seguridad nacional” para negar el acceso a información pública.</w:t>
      </w:r>
    </w:p>
    <w:p w14:paraId="0191F006" w14:textId="77777777" w:rsidR="006F213C" w:rsidRPr="006F213C" w:rsidRDefault="006F213C" w:rsidP="00A24A85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6F213C" w:rsidRPr="006F213C" w:rsidSect="003C1713">
      <w:pgSz w:w="12240" w:h="15840"/>
      <w:pgMar w:top="577" w:right="1701" w:bottom="7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6FE5"/>
    <w:multiLevelType w:val="hybridMultilevel"/>
    <w:tmpl w:val="0D7E217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E0"/>
    <w:rsid w:val="003C1713"/>
    <w:rsid w:val="00483BCB"/>
    <w:rsid w:val="006C3697"/>
    <w:rsid w:val="006F213C"/>
    <w:rsid w:val="00A24A85"/>
    <w:rsid w:val="00AC4312"/>
    <w:rsid w:val="00B61CD0"/>
    <w:rsid w:val="00C937E0"/>
    <w:rsid w:val="00CD1B9C"/>
    <w:rsid w:val="00E2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E65ED"/>
  <w15:chartTrackingRefBased/>
  <w15:docId w15:val="{74B1F682-DCFA-2B47-9D62-5847DE6D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37E0"/>
    <w:rPr>
      <w:rFonts w:ascii="Calibri" w:eastAsia="Calibri" w:hAnsi="Calibri" w:cs="Calibri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375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Emilio Godoy Alvarado</dc:creator>
  <cp:keywords/>
  <dc:description/>
  <cp:lastModifiedBy>JUANA MERAZ SANCHEZ</cp:lastModifiedBy>
  <cp:revision>5</cp:revision>
  <dcterms:created xsi:type="dcterms:W3CDTF">2023-03-17T16:37:00Z</dcterms:created>
  <dcterms:modified xsi:type="dcterms:W3CDTF">2023-03-21T01:02:00Z</dcterms:modified>
</cp:coreProperties>
</file>